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3D0036">
      <w:pPr>
        <w:pStyle w:val="2"/>
        <w:spacing w:line="360" w:lineRule="auto"/>
        <w:jc w:val="center"/>
        <w:rPr>
          <w:rFonts w:hint="eastAsia" w:ascii="微软雅黑" w:hAnsi="微软雅黑" w:eastAsia="微软雅黑" w:cs="微软雅黑"/>
          <w:b/>
          <w:bCs/>
          <w:i w:val="0"/>
          <w:color w:val="000000"/>
          <w:sz w:val="44"/>
          <w:szCs w:val="44"/>
        </w:rPr>
      </w:pPr>
      <w:r>
        <w:rPr>
          <w:rFonts w:hint="eastAsia" w:ascii="微软雅黑" w:hAnsi="微软雅黑" w:eastAsia="微软雅黑" w:cs="微软雅黑"/>
          <w:b/>
          <w:bCs/>
          <w:i w:val="0"/>
          <w:color w:val="000000"/>
          <w:sz w:val="44"/>
          <w:szCs w:val="44"/>
        </w:rPr>
        <w:t>南县人民政府</w:t>
      </w:r>
    </w:p>
    <w:p w14:paraId="22A9B281">
      <w:pPr>
        <w:pStyle w:val="2"/>
        <w:spacing w:line="360"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i w:val="0"/>
          <w:color w:val="000000"/>
          <w:sz w:val="44"/>
          <w:szCs w:val="44"/>
        </w:rPr>
        <w:t>关于加强洞庭湖流域南县沱江片区水环境综合整治和综合开发建设管理的通告</w:t>
      </w:r>
    </w:p>
    <w:p w14:paraId="7F6F7BF6">
      <w:pPr>
        <w:pStyle w:val="4"/>
        <w:spacing w:line="360" w:lineRule="auto"/>
        <w:ind w:firstLine="3000" w:firstLineChars="1000"/>
        <w:rPr>
          <w:rFonts w:hint="eastAsia" w:ascii="仿宋" w:hAnsi="仿宋" w:eastAsia="仿宋" w:cs="仿宋"/>
          <w:b w:val="0"/>
          <w:bCs w:val="0"/>
          <w:color w:val="000000" w:themeColor="text1"/>
          <w:sz w:val="30"/>
          <w:szCs w:val="30"/>
          <w14:textFill>
            <w14:solidFill>
              <w14:schemeClr w14:val="tx1"/>
            </w14:solidFill>
          </w14:textFill>
        </w:rPr>
      </w:pPr>
      <w:r>
        <w:rPr>
          <w:rFonts w:hint="eastAsia" w:ascii="仿宋" w:hAnsi="仿宋" w:eastAsia="仿宋" w:cs="仿宋"/>
          <w:b w:val="0"/>
          <w:bCs w:val="0"/>
          <w:i w:val="0"/>
          <w:color w:val="000000" w:themeColor="text1"/>
          <w:sz w:val="30"/>
          <w:szCs w:val="30"/>
          <w14:textFill>
            <w14:solidFill>
              <w14:schemeClr w14:val="tx1"/>
            </w14:solidFill>
          </w14:textFill>
        </w:rPr>
        <w:t>南政告〔202</w:t>
      </w:r>
      <w:r>
        <w:rPr>
          <w:rFonts w:hint="eastAsia" w:ascii="仿宋" w:hAnsi="仿宋" w:eastAsia="仿宋" w:cs="仿宋"/>
          <w:b w:val="0"/>
          <w:bCs w:val="0"/>
          <w:i w:val="0"/>
          <w:color w:val="000000" w:themeColor="text1"/>
          <w:sz w:val="30"/>
          <w:szCs w:val="30"/>
          <w:lang w:val="en-US" w:eastAsia="zh-CN"/>
          <w14:textFill>
            <w14:solidFill>
              <w14:schemeClr w14:val="tx1"/>
            </w14:solidFill>
          </w14:textFill>
        </w:rPr>
        <w:t>6</w:t>
      </w:r>
      <w:r>
        <w:rPr>
          <w:rFonts w:hint="eastAsia" w:ascii="仿宋" w:hAnsi="仿宋" w:eastAsia="仿宋" w:cs="仿宋"/>
          <w:b w:val="0"/>
          <w:bCs w:val="0"/>
          <w:i w:val="0"/>
          <w:color w:val="000000" w:themeColor="text1"/>
          <w:sz w:val="30"/>
          <w:szCs w:val="30"/>
          <w14:textFill>
            <w14:solidFill>
              <w14:schemeClr w14:val="tx1"/>
            </w14:solidFill>
          </w14:textFill>
        </w:rPr>
        <w:t>〕</w:t>
      </w:r>
      <w:r>
        <w:rPr>
          <w:rFonts w:hint="eastAsia" w:ascii="仿宋" w:hAnsi="仿宋" w:eastAsia="仿宋" w:cs="仿宋"/>
          <w:b w:val="0"/>
          <w:bCs w:val="0"/>
          <w:i w:val="0"/>
          <w:color w:val="000000" w:themeColor="text1"/>
          <w:sz w:val="30"/>
          <w:szCs w:val="30"/>
          <w:lang w:val="en-US" w:eastAsia="zh-CN"/>
          <w14:textFill>
            <w14:solidFill>
              <w14:schemeClr w14:val="tx1"/>
            </w14:solidFill>
          </w14:textFill>
        </w:rPr>
        <w:t xml:space="preserve">  </w:t>
      </w:r>
      <w:r>
        <w:rPr>
          <w:rFonts w:hint="eastAsia" w:ascii="仿宋" w:hAnsi="仿宋" w:eastAsia="仿宋" w:cs="仿宋"/>
          <w:b w:val="0"/>
          <w:bCs w:val="0"/>
          <w:i w:val="0"/>
          <w:color w:val="000000" w:themeColor="text1"/>
          <w:sz w:val="30"/>
          <w:szCs w:val="30"/>
          <w14:textFill>
            <w14:solidFill>
              <w14:schemeClr w14:val="tx1"/>
            </w14:solidFill>
          </w14:textFill>
        </w:rPr>
        <w:t>号</w:t>
      </w:r>
    </w:p>
    <w:p w14:paraId="75F4DF6F">
      <w:pPr>
        <w:pStyle w:val="7"/>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为深入贯彻落实习近平生态文明思想，切实加强洞庭湖流域生态环境保护，全面推进我县沱江片区水环境综合整治与综合开发建设，保障行洪安全、生态安全和供水安全，根据</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"https://www.zhiexa.com/fuxi/legislation/detail?id=49B3041F66869C076D64D1EFAF5584DD&amp;s=1" \o "查看法规: 《中华人民共和国水法》详情"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《中华人民共和国水法》</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"https://www.zhiexa.com/fuxi/legislation/detail?id=980F3C966EBEB7A110EBF8EEF0D9554F&amp;s=1" \o "查看法规: 《中华人民共和国防洪法（2016年修正）》详情"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《中华人民共和国防洪法》</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"https://www.zhiexa.com/fuxi/legislation/detail?id=52B9C58BC41301261FD4E478304F694A&amp;s=1" \o "查看法规: 《中华人民共和国河道管理条例》详情"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《中华人民共和国河道管理条例》</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"https://www.zhiexa.com/fuxi/legislation/detail?id=948A2F2947F34CB5558C06950E970CB8&amp;s=1" \o "查看法规: 《中华人民共和国土地管理法（2019年修订）》详情"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《中华人民共和国土地管理法》</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"https://www.zhiexa.com/fuxi/legislation/detail?id=9F73BBFE8401A1A0106CF1F640740249&amp;s=1" \o "查看法规: 《湖南省洞庭湖保护条例》详情"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《湖南省洞庭湖保护条例》</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t>等法律法规及《南县沱江河道划界资料汇编》（2002年）相关规定，结合我县实际，现就有关事项通告如下：</w:t>
      </w:r>
    </w:p>
    <w:p w14:paraId="6A966E8E">
      <w:pPr>
        <w:pStyle w:val="4"/>
        <w:spacing w:line="360" w:lineRule="auto"/>
        <w:ind w:firstLine="900" w:firstLineChars="300"/>
        <w:rPr>
          <w:rFonts w:hint="eastAsia" w:ascii="微软雅黑" w:hAnsi="微软雅黑" w:eastAsia="微软雅黑" w:cs="微软雅黑"/>
          <w:color w:val="000000" w:themeColor="text1"/>
          <w:sz w:val="30"/>
          <w:szCs w:val="30"/>
          <w14:textFill>
            <w14:solidFill>
              <w14:schemeClr w14:val="tx1"/>
            </w14:solidFill>
          </w14:textFill>
        </w:rPr>
      </w:pPr>
      <w:r>
        <w:rPr>
          <w:rFonts w:hint="eastAsia" w:ascii="微软雅黑" w:hAnsi="微软雅黑" w:eastAsia="微软雅黑" w:cs="微软雅黑"/>
          <w:b/>
          <w:i w:val="0"/>
          <w:color w:val="000000" w:themeColor="text1"/>
          <w:sz w:val="30"/>
          <w:szCs w:val="30"/>
          <w14:textFill>
            <w14:solidFill>
              <w14:schemeClr w14:val="tx1"/>
            </w14:solidFill>
          </w14:textFill>
        </w:rPr>
        <w:t>一、明确整治范围与管理主体</w:t>
      </w:r>
    </w:p>
    <w:p w14:paraId="35BBE9C0">
      <w:pPr>
        <w:pStyle w:val="7"/>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color w:val="000000" w:themeColor="text1"/>
          <w:sz w:val="30"/>
          <w:szCs w:val="30"/>
          <w14:textFill>
            <w14:solidFill>
              <w14:schemeClr w14:val="tx1"/>
            </w14:solidFill>
          </w14:textFill>
        </w:rPr>
        <w:t>（一）本通告所称沱江片区整治范围，是指依据2002年《南县沱江河道划界资料汇编》及《南县沱江水利工程管理所使用界线认定书》划定的管理范围。具体为：沱江上坝坝面内羊角、下坝坝面外羊角（保护范围为下坝背水坡脚向外水平延伸200米）及沱江两侧防洪大堤堤面外羊角所夹范围内的全部洲滩、巴垸、水域。该范围内的土地、水域等自然资源属国家所有。</w:t>
      </w:r>
    </w:p>
    <w:p w14:paraId="2D1C2B11">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color w:val="000000" w:themeColor="text1"/>
          <w:sz w:val="30"/>
          <w:szCs w:val="30"/>
          <w14:textFill>
            <w14:solidFill>
              <w14:schemeClr w14:val="tx1"/>
            </w14:solidFill>
          </w14:textFill>
        </w:rPr>
        <w:t>（二）南县水利局是沱江片区水环境综合整治与综合开发建设的行政主管部门和主管单位，南县</w:t>
      </w:r>
      <w:r>
        <w:rPr>
          <w:rFonts w:hint="eastAsia" w:ascii="仿宋" w:hAnsi="仿宋" w:eastAsia="仿宋" w:cs="仿宋"/>
          <w:i w:val="0"/>
          <w:color w:val="000000" w:themeColor="text1"/>
          <w:sz w:val="30"/>
          <w:szCs w:val="30"/>
          <w:lang w:eastAsia="zh-CN"/>
          <w14:textFill>
            <w14:solidFill>
              <w14:schemeClr w14:val="tx1"/>
            </w14:solidFill>
          </w14:textFill>
        </w:rPr>
        <w:t>三仙</w:t>
      </w:r>
      <w:r>
        <w:rPr>
          <w:rFonts w:hint="eastAsia" w:ascii="仿宋" w:hAnsi="仿宋" w:eastAsia="仿宋" w:cs="仿宋"/>
          <w:i w:val="0"/>
          <w:color w:val="000000" w:themeColor="text1"/>
          <w:sz w:val="30"/>
          <w:szCs w:val="30"/>
          <w14:textFill>
            <w14:solidFill>
              <w14:schemeClr w14:val="tx1"/>
            </w14:solidFill>
          </w14:textFill>
        </w:rPr>
        <w:t>湖水库具体负责该区域的统一管理、经营和日常维护工作。任何单位和个人使用该区域内的土地、水域进行开发建设，必须依法依规办理相关手续。</w:t>
      </w:r>
    </w:p>
    <w:p w14:paraId="7137D00A">
      <w:pPr>
        <w:pStyle w:val="4"/>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微软雅黑" w:hAnsi="微软雅黑" w:eastAsia="微软雅黑" w:cs="微软雅黑"/>
          <w:b/>
          <w:i w:val="0"/>
          <w:color w:val="000000" w:themeColor="text1"/>
          <w:sz w:val="30"/>
          <w:szCs w:val="30"/>
          <w14:textFill>
            <w14:solidFill>
              <w14:schemeClr w14:val="tx1"/>
            </w14:solidFill>
          </w14:textFill>
        </w:rPr>
        <w:t>二、严格禁止各类违法行为</w:t>
      </w:r>
    </w:p>
    <w:p w14:paraId="3FB0C061">
      <w:pPr>
        <w:pStyle w:val="7"/>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color w:val="000000" w:themeColor="text1"/>
          <w:sz w:val="30"/>
          <w:szCs w:val="30"/>
          <w14:textFill>
            <w14:solidFill>
              <w14:schemeClr w14:val="tx1"/>
            </w14:solidFill>
          </w14:textFill>
        </w:rPr>
        <w:t>在沱江片区上述整治管理范围内，严禁从事下列活动：</w:t>
      </w:r>
    </w:p>
    <w:p w14:paraId="30FB3AFC">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（一）严禁新建、改建、扩建坟墓。</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"https://www.zhiexa.com/fuxi/legislation/detail?id=52B9C58BC41301261FD4E478304F694A&amp;s=1&amp;keywords=%E7%AC%AC%E4%BA%8C%E5%8D%81%E5%9B%9B%E6%9D%A1" \o "查看法规: 《中华人民共和国河道管理条例》第二十四条详情"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《中华人民共和国河道管理条例》第二十四条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t>明确规定，在堤防和护堤地，禁止葬坟。本通告发布前已存在的坟墓，相关权利人须在</w:t>
      </w:r>
      <w:r>
        <w:rPr>
          <w:rFonts w:hint="eastAsia" w:ascii="仿宋" w:hAnsi="仿宋" w:eastAsia="仿宋" w:cs="仿宋"/>
          <w:color w:val="000000" w:themeColor="text1"/>
          <w:sz w:val="30"/>
          <w:szCs w:val="30"/>
          <w:lang w:val="en-US" w:eastAsia="zh-CN"/>
          <w14:textFill>
            <w14:solidFill>
              <w14:schemeClr w14:val="tx1"/>
            </w14:solidFill>
          </w14:textFill>
        </w:rPr>
        <w:t>2026年6月 30日前</w:t>
      </w:r>
      <w:r>
        <w:rPr>
          <w:rFonts w:hint="eastAsia" w:ascii="仿宋" w:hAnsi="仿宋" w:eastAsia="仿宋" w:cs="仿宋"/>
          <w:color w:val="000000" w:themeColor="text1"/>
          <w:sz w:val="30"/>
          <w:szCs w:val="30"/>
          <w14:textFill>
            <w14:solidFill>
              <w14:schemeClr w14:val="tx1"/>
            </w14:solidFill>
          </w14:textFill>
        </w:rPr>
        <w:t>自行迁移。</w:t>
      </w:r>
    </w:p>
    <w:p w14:paraId="06B7DBA4">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（二）严禁未经批准建设任何建筑物、构筑物。禁止建设妨碍行洪的房屋、厂房、围墙、码头等设施。</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"https://www.zhiexa.com/fuxi/legislation/detail?id=980F3C966EBEB7A110EBF8EEF0D9554F&amp;s=1&amp;keywords=%E7%AC%AC%E4%BA%8C%E5%8D%81%E4%BA%8C%E6%9D%A1" \o "查看法规: 《中华人民共和国防洪法（2016年修正）》第二十二条详情"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《中华人民共和国防洪法》第二十二条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"https://www.zhiexa.com/fuxi/legislation/detail?id=52B9C58BC41301261FD4E478304F694A&amp;s=1&amp;keywords=%E7%AC%AC%E4%BA%8C%E5%8D%81%E5%9B%9B%E6%9D%A1" \o "查看法规: 《中华人民共和国河道管理条例》第二十四条详情"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《中华人民共和国河道管理条例》第二十四条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t>对此有明确禁令。</w:t>
      </w:r>
    </w:p>
    <w:p w14:paraId="7B342796">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（三）严禁未经批准挖筑鱼塘、养殖池等。凡未经河道主管机关（县水利局）批准擅自挖筑的池塘，均属违法池塘</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"https://www.zhiexa.com/fuxi/legislation/detail?id=52B9C58BC41301261FD4E478304F694A&amp;s=1&amp;keywords=%E7%AC%AC%E4%BA%8C%E5%8D%81%E4%BA%94%E6%9D%A1" \o "查看法规: 《中华人民共和国河道管理条例》第二十五条详情"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《中华人民共和国河道管理条例》第二十五条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t>规定，在河道管理范围内挖筑鱼塘必须报经批准。</w:t>
      </w:r>
    </w:p>
    <w:p w14:paraId="51022C76">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（四）严禁非法侵占洲滩、水域种植树木、高杆作物。禁止在河道管理范围内种植阻碍行洪的林木和高杆作物。</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"https://www.zhiexa.com/fuxi/legislation/detail?id=980F3C966EBEB7A110EBF8EEF0D9554F&amp;s=1&amp;keywords=%E7%AC%AC%E4%BA%8C%E5%8D%81%E4%BA%8C%E6%9D%A1" \o "查看法规: 《中华人民共和国防洪法（2016年修正）》第二十二条详情"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《中华人民共和国防洪法》第二十二条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"https://www.zhiexa.com/fuxi/legislation/detail?id=52B9C58BC41301261FD4E478304F694A&amp;s=1&amp;keywords=%E7%AC%AC%E4%BA%8C%E5%8D%81%E5%9B%9B%E6%9D%A1" \o "查看法规: 《中华人民共和国河道管理条例》第二十四条详情"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《中华人民共和国河道管理条例》第二十四条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t>对此均有禁止性规定。凡未经批准，擅自在管理范围内种植的林木及作物，一律视为非法强占种植。</w:t>
      </w:r>
    </w:p>
    <w:p w14:paraId="680B4697">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（五）严禁倾倒垃圾、渣土、工业废渣等废弃物，严禁排放污染水体的物体。</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"https://www.zhiexa.com/fuxi/legislation/detail?id=980F3C966EBEB7A110EBF8EEF0D9554F&amp;s=1&amp;keywords=%E7%AC%AC%E4%BA%8C%E5%8D%81%E4%BA%8C%E6%9D%A1" \o "查看法规: 《中华人民共和国防洪法（2016年修正）》第二十二条详情"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《中华人民共和国防洪法》第二十二条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"https://www.zhiexa.com/fuxi/legislation/detail?id=52B9C58BC41301261FD4E478304F694A&amp;s=1&amp;keywords=%E7%AC%AC%E4%B8%89%E5%8D%81%E4%BA%94%E6%9D%A1" \o "查看法规: 《中华人民共和国河道管理条例》第三十五条详情"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《中华人民共和国河道管理条例》第三十五条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t>对此作出了明确规定。</w:t>
      </w:r>
    </w:p>
    <w:p w14:paraId="0C957A36">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（六）严禁任何破坏、侵占堤防、护岸、水文监测等水工程设施的行为。</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"https://www.zhiexa.com/fuxi/legislation/detail?id=49B3041F66869C076D64D1EFAF5584DD&amp;s=1&amp;keywords=%E7%AC%AC%E5%9B%9B%E5%8D%81%E4%B8%80%E6%9D%A1" \o "查看法规: 《中华人民共和国水法》第四十一条详情"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《中华人民共和国水法》第四十一条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0"/>
          <w:szCs w:val="30"/>
          <w:u w:val="none"/>
          <w14:textFill>
            <w14:solidFill>
              <w14:schemeClr w14:val="tx1"/>
            </w14:solidFill>
          </w14:textFill>
        </w:rPr>
        <w:fldChar w:fldCharType="begin"/>
      </w:r>
      <w:r>
        <w:rPr>
          <w:rFonts w:hint="eastAsia" w:ascii="仿宋" w:hAnsi="仿宋" w:eastAsia="仿宋" w:cs="仿宋"/>
          <w:color w:val="000000" w:themeColor="text1"/>
          <w:sz w:val="30"/>
          <w:szCs w:val="30"/>
          <w:u w:val="none"/>
          <w14:textFill>
            <w14:solidFill>
              <w14:schemeClr w14:val="tx1"/>
            </w14:solidFill>
          </w14:textFill>
        </w:rPr>
        <w:instrText xml:space="preserve"> HYPERLINK "https://www.zhiexa.com/fuxi/legislation/detail?id=980F3C966EBEB7A110EBF8EEF0D9554F&amp;s=1&amp;keywords=%E7%AC%AC%E4%B8%89%E5%8D%81%E4%B8%83%E6%9D%A1" \o "查看法规: 《中华人民共和国防洪法（2016年修正）》第三十七条详情" </w:instrText>
      </w:r>
      <w:r>
        <w:rPr>
          <w:rFonts w:hint="eastAsia" w:ascii="仿宋" w:hAnsi="仿宋" w:eastAsia="仿宋" w:cs="仿宋"/>
          <w:color w:val="000000" w:themeColor="text1"/>
          <w:sz w:val="30"/>
          <w:szCs w:val="30"/>
          <w:u w:val="none"/>
          <w14:textFill>
            <w14:solidFill>
              <w14:schemeClr w14:val="tx1"/>
            </w14:solidFill>
          </w14:textFill>
        </w:rPr>
        <w:fldChar w:fldCharType="separate"/>
      </w:r>
      <w:r>
        <w:rPr>
          <w:rFonts w:hint="eastAsia" w:ascii="仿宋" w:hAnsi="仿宋" w:eastAsia="仿宋" w:cs="仿宋"/>
          <w:color w:val="000000" w:themeColor="text1"/>
          <w:sz w:val="30"/>
          <w:szCs w:val="30"/>
          <w:u w:val="none"/>
          <w14:textFill>
            <w14:solidFill>
              <w14:schemeClr w14:val="tx1"/>
            </w14:solidFill>
          </w14:textFill>
        </w:rPr>
        <w:t>《中华人民共和国防洪法》第三十七条</w:t>
      </w:r>
      <w:r>
        <w:rPr>
          <w:rFonts w:hint="eastAsia" w:ascii="仿宋" w:hAnsi="仿宋" w:eastAsia="仿宋" w:cs="仿宋"/>
          <w:color w:val="000000" w:themeColor="text1"/>
          <w:sz w:val="30"/>
          <w:szCs w:val="30"/>
          <w:u w:val="none"/>
          <w14:textFill>
            <w14:solidFill>
              <w14:schemeClr w14:val="tx1"/>
            </w14:solidFill>
          </w14:textFill>
        </w:rPr>
        <w:fldChar w:fldCharType="end"/>
      </w:r>
      <w:r>
        <w:rPr>
          <w:rFonts w:hint="eastAsia" w:ascii="仿宋" w:hAnsi="仿宋" w:eastAsia="仿宋" w:cs="仿宋"/>
          <w:color w:val="000000" w:themeColor="text1"/>
          <w:sz w:val="30"/>
          <w:szCs w:val="30"/>
          <w14:textFill>
            <w14:solidFill>
              <w14:schemeClr w14:val="tx1"/>
            </w14:solidFill>
          </w14:textFill>
        </w:rPr>
        <w:t>对保护水工程设施有严格要求。</w:t>
      </w:r>
    </w:p>
    <w:p w14:paraId="23CAC8CB">
      <w:pPr>
        <w:pStyle w:val="4"/>
        <w:spacing w:line="360" w:lineRule="auto"/>
        <w:ind w:firstLine="600" w:firstLineChars="200"/>
        <w:rPr>
          <w:rFonts w:hint="eastAsia" w:ascii="微软雅黑" w:hAnsi="微软雅黑" w:eastAsia="微软雅黑" w:cs="微软雅黑"/>
          <w:color w:val="000000" w:themeColor="text1"/>
          <w:sz w:val="30"/>
          <w:szCs w:val="30"/>
          <w14:textFill>
            <w14:solidFill>
              <w14:schemeClr w14:val="tx1"/>
            </w14:solidFill>
          </w14:textFill>
        </w:rPr>
      </w:pPr>
      <w:r>
        <w:rPr>
          <w:rFonts w:hint="eastAsia" w:ascii="微软雅黑" w:hAnsi="微软雅黑" w:eastAsia="微软雅黑" w:cs="微软雅黑"/>
          <w:b/>
          <w:i w:val="0"/>
          <w:color w:val="000000" w:themeColor="text1"/>
          <w:sz w:val="30"/>
          <w:szCs w:val="30"/>
          <w14:textFill>
            <w14:solidFill>
              <w14:schemeClr w14:val="tx1"/>
            </w14:solidFill>
          </w14:textFill>
        </w:rPr>
        <w:t>三、依法实施强制取缔</w:t>
      </w:r>
    </w:p>
    <w:p w14:paraId="29F277F3">
      <w:pPr>
        <w:pStyle w:val="7"/>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color w:val="000000" w:themeColor="text1"/>
          <w:sz w:val="30"/>
          <w:szCs w:val="30"/>
          <w14:textFill>
            <w14:solidFill>
              <w14:schemeClr w14:val="tx1"/>
            </w14:solidFill>
          </w14:textFill>
        </w:rPr>
        <w:t xml:space="preserve">（一）自本通告发布之日起，凡在整治范围内存在上述第一条第（一）至（四）项所列违法情形的单位和个人，必须立即停止违法行为，并在 </w:t>
      </w:r>
      <w:r>
        <w:rPr>
          <w:rFonts w:hint="eastAsia" w:ascii="仿宋" w:hAnsi="仿宋" w:eastAsia="仿宋" w:cs="仿宋"/>
          <w:i w:val="0"/>
          <w:color w:val="000000" w:themeColor="text1"/>
          <w:sz w:val="30"/>
          <w:szCs w:val="30"/>
          <w:lang w:val="en-US" w:eastAsia="zh-CN"/>
          <w14:textFill>
            <w14:solidFill>
              <w14:schemeClr w14:val="tx1"/>
            </w14:solidFill>
          </w14:textFill>
        </w:rPr>
        <w:t>2026</w:t>
      </w:r>
      <w:r>
        <w:rPr>
          <w:rFonts w:hint="eastAsia" w:ascii="仿宋" w:hAnsi="仿宋" w:eastAsia="仿宋" w:cs="仿宋"/>
          <w:i w:val="0"/>
          <w:color w:val="000000" w:themeColor="text1"/>
          <w:sz w:val="30"/>
          <w:szCs w:val="30"/>
          <w14:textFill>
            <w14:solidFill>
              <w14:schemeClr w14:val="tx1"/>
            </w14:solidFill>
          </w14:textFill>
        </w:rPr>
        <w:t>年</w:t>
      </w:r>
      <w:r>
        <w:rPr>
          <w:rFonts w:hint="eastAsia" w:ascii="仿宋" w:hAnsi="仿宋" w:eastAsia="仿宋" w:cs="仿宋"/>
          <w:i w:val="0"/>
          <w:color w:val="000000" w:themeColor="text1"/>
          <w:sz w:val="30"/>
          <w:szCs w:val="30"/>
          <w:lang w:val="en-US" w:eastAsia="zh-CN"/>
          <w14:textFill>
            <w14:solidFill>
              <w14:schemeClr w14:val="tx1"/>
            </w14:solidFill>
          </w14:textFill>
        </w:rPr>
        <w:t xml:space="preserve">6 </w:t>
      </w:r>
      <w:r>
        <w:rPr>
          <w:rFonts w:hint="eastAsia" w:ascii="仿宋" w:hAnsi="仿宋" w:eastAsia="仿宋" w:cs="仿宋"/>
          <w:i w:val="0"/>
          <w:color w:val="000000" w:themeColor="text1"/>
          <w:sz w:val="30"/>
          <w:szCs w:val="30"/>
          <w14:textFill>
            <w14:solidFill>
              <w14:schemeClr w14:val="tx1"/>
            </w14:solidFill>
          </w14:textFill>
        </w:rPr>
        <w:t>月</w:t>
      </w:r>
      <w:r>
        <w:rPr>
          <w:rFonts w:hint="eastAsia" w:ascii="仿宋" w:hAnsi="仿宋" w:eastAsia="仿宋" w:cs="仿宋"/>
          <w:i w:val="0"/>
          <w:color w:val="000000" w:themeColor="text1"/>
          <w:sz w:val="30"/>
          <w:szCs w:val="30"/>
          <w:lang w:val="en-US" w:eastAsia="zh-CN"/>
          <w14:textFill>
            <w14:solidFill>
              <w14:schemeClr w14:val="tx1"/>
            </w14:solidFill>
          </w14:textFill>
        </w:rPr>
        <w:t>30</w:t>
      </w:r>
      <w:r>
        <w:rPr>
          <w:rFonts w:hint="eastAsia" w:ascii="仿宋" w:hAnsi="仿宋" w:eastAsia="仿宋" w:cs="仿宋"/>
          <w:i w:val="0"/>
          <w:color w:val="000000" w:themeColor="text1"/>
          <w:sz w:val="30"/>
          <w:szCs w:val="30"/>
          <w14:textFill>
            <w14:solidFill>
              <w14:schemeClr w14:val="tx1"/>
            </w14:solidFill>
          </w14:textFill>
        </w:rPr>
        <w:t>日前自行拆除违法建筑、填埋违法池塘、迁移坟墓、清除非法种植的树木及作物，恢复原状。逾期未自行清理、拆除的，县人民政府将组织县水利局、县自然资源局、县公安局、属地乡镇人民政府等相关部门依法予以强制取缔，一切损失由违法行为人自行承担。</w:t>
      </w:r>
    </w:p>
    <w:p w14:paraId="5CEE9380">
      <w:pPr>
        <w:pStyle w:val="3"/>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color w:val="000000" w:themeColor="text1"/>
          <w:sz w:val="30"/>
          <w:szCs w:val="30"/>
          <w14:textFill>
            <w14:solidFill>
              <w14:schemeClr w14:val="tx1"/>
            </w14:solidFill>
          </w14:textFill>
        </w:rPr>
        <w:t>（二）强制取缔行动中，对阻碍、抗拒执法人员依法执行公务的，由公安机关依照《中华人民共和国治安管理处罚法》予以处罚；构成犯罪的，依法追究刑事责任。</w:t>
      </w:r>
    </w:p>
    <w:p w14:paraId="3692E88D">
      <w:pPr>
        <w:pStyle w:val="4"/>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微软雅黑" w:hAnsi="微软雅黑" w:eastAsia="微软雅黑" w:cs="微软雅黑"/>
          <w:b/>
          <w:bCs/>
          <w:i w:val="0"/>
          <w:color w:val="000000" w:themeColor="text1"/>
          <w:sz w:val="30"/>
          <w:szCs w:val="30"/>
          <w14:textFill>
            <w14:solidFill>
              <w14:schemeClr w14:val="tx1"/>
            </w14:solidFill>
          </w14:textFill>
        </w:rPr>
        <w:t>四、强化部门协同与监督</w:t>
      </w:r>
    </w:p>
    <w:p w14:paraId="7983FA64">
      <w:pPr>
        <w:pStyle w:val="7"/>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color w:val="000000" w:themeColor="text1"/>
          <w:sz w:val="30"/>
          <w:szCs w:val="30"/>
          <w14:textFill>
            <w14:solidFill>
              <w14:schemeClr w14:val="tx1"/>
            </w14:solidFill>
          </w14:textFill>
        </w:rPr>
        <w:t>县水利局要切实履行主管职责，加强日常巡查与监管。县自然资源局要依法加强土地管理，查处非法占地行为。市生态环境局南县分局要加强对水污染防治的监督管理。县公安局要为整治工作提供执法保障。沿线各乡镇人民政府要按照属地管理原则，积极配合做好宣传、动员和维稳工作。各相关部门要密切配合，形成合力，确保整治工作顺利推进。</w:t>
      </w:r>
    </w:p>
    <w:p w14:paraId="7EEFC0BA">
      <w:pPr>
        <w:pStyle w:val="4"/>
        <w:spacing w:line="360" w:lineRule="auto"/>
        <w:ind w:firstLine="600" w:firstLineChars="200"/>
        <w:rPr>
          <w:rFonts w:hint="eastAsia" w:ascii="仿宋" w:hAnsi="仿宋" w:eastAsia="仿宋" w:cs="仿宋"/>
          <w:b w:val="0"/>
          <w:bCs w:val="0"/>
          <w:color w:val="000000" w:themeColor="text1"/>
          <w:sz w:val="30"/>
          <w:szCs w:val="30"/>
          <w14:textFill>
            <w14:solidFill>
              <w14:schemeClr w14:val="tx1"/>
            </w14:solidFill>
          </w14:textFill>
        </w:rPr>
      </w:pPr>
      <w:r>
        <w:rPr>
          <w:rFonts w:hint="eastAsia" w:ascii="仿宋" w:hAnsi="仿宋" w:eastAsia="仿宋" w:cs="仿宋"/>
          <w:b w:val="0"/>
          <w:bCs w:val="0"/>
          <w:i w:val="0"/>
          <w:color w:val="000000" w:themeColor="text1"/>
          <w:sz w:val="30"/>
          <w:szCs w:val="30"/>
          <w14:textFill>
            <w14:solidFill>
              <w14:schemeClr w14:val="tx1"/>
            </w14:solidFill>
          </w14:textFill>
        </w:rPr>
        <w:t>五、本通告自发布之日起施行。</w:t>
      </w:r>
    </w:p>
    <w:p w14:paraId="03B615A3">
      <w:pPr>
        <w:pStyle w:val="7"/>
        <w:spacing w:line="360" w:lineRule="auto"/>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color w:val="000000" w:themeColor="text1"/>
          <w:sz w:val="30"/>
          <w:szCs w:val="30"/>
          <w14:textFill>
            <w14:solidFill>
              <w14:schemeClr w14:val="tx1"/>
            </w14:solidFill>
          </w14:textFill>
        </w:rPr>
        <w:t>特此通告</w:t>
      </w:r>
    </w:p>
    <w:p w14:paraId="52C6EA38">
      <w:pPr>
        <w:pStyle w:val="3"/>
        <w:spacing w:line="360" w:lineRule="auto"/>
        <w:jc w:val="center"/>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南县人民政府</w:t>
      </w:r>
      <w:r>
        <w:rPr>
          <w:rFonts w:hint="eastAsia" w:ascii="仿宋" w:hAnsi="仿宋" w:eastAsia="仿宋" w:cs="仿宋"/>
          <w:color w:val="000000" w:themeColor="text1"/>
          <w:sz w:val="30"/>
          <w:szCs w:val="30"/>
          <w14:textFill>
            <w14:solidFill>
              <w14:schemeClr w14:val="tx1"/>
            </w14:solidFill>
          </w14:textFill>
        </w:rPr>
        <w:br w:type="textWrapping"/>
      </w:r>
      <w:r>
        <w:rPr>
          <w:rFonts w:hint="eastAsia" w:ascii="仿宋" w:hAnsi="仿宋" w:eastAsia="仿宋" w:cs="仿宋"/>
          <w:color w:val="000000" w:themeColor="text1"/>
          <w:sz w:val="30"/>
          <w:szCs w:val="30"/>
          <w:lang w:val="en-US" w:eastAsia="zh-CN"/>
          <w14:textFill>
            <w14:solidFill>
              <w14:schemeClr w14:val="tx1"/>
            </w14:solidFill>
          </w14:textFill>
        </w:rPr>
        <w:t xml:space="preserve">                 </w:t>
      </w:r>
      <w:bookmarkStart w:id="0" w:name="_GoBack"/>
      <w:bookmarkEnd w:id="0"/>
    </w:p>
    <w:p w14:paraId="687F5277">
      <w:pPr>
        <w:rPr>
          <w:rFonts w:hint="eastAsia" w:ascii="仿宋" w:hAnsi="仿宋" w:eastAsia="仿宋" w:cs="仿宋"/>
          <w:color w:val="000000" w:themeColor="text1"/>
          <w:sz w:val="30"/>
          <w:szCs w:val="30"/>
          <w14:textFill>
            <w14:solidFill>
              <w14:schemeClr w14:val="tx1"/>
            </w14:solidFill>
          </w14:textFill>
        </w:rPr>
      </w:pPr>
    </w:p>
    <w:sectPr>
      <w:headerReference r:id="rId5" w:type="default"/>
      <w:footerReference r:id="rId6" w:type="default"/>
      <w:pgSz w:w="11906" w:h="16838"/>
      <w:pgMar w:top="1441" w:right="1227" w:bottom="1441" w:left="1799" w:header="709" w:footer="709" w:gutter="0"/>
      <w:cols w:space="1701"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D20E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6ED2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7270D1"/>
    <w:rsid w:val="2B7C6DB2"/>
    <w:rsid w:val="5CC31B3E"/>
    <w:rsid w:val="707270D1"/>
    <w:rsid w:val="7B173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beforeAutospacing="0" w:after="200" w:afterAutospacing="0" w:line="240" w:lineRule="auto"/>
    </w:pPr>
    <w:rPr>
      <w:rFonts w:hint="default" w:ascii="Times New Roman" w:hAnsi="Times New Roman" w:eastAsia="宋体" w:cstheme="minorBidi"/>
      <w:sz w:val="24"/>
      <w:szCs w:val="24"/>
      <w:lang w:val="en-US" w:eastAsia="en-US" w:bidi="ar-SA"/>
    </w:rPr>
  </w:style>
  <w:style w:type="paragraph" w:styleId="2">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874CB" w:themeColor="accent1"/>
      <w:sz w:val="28"/>
      <w:szCs w:val="28"/>
      <w14:textFill>
        <w14:solidFill>
          <w14:schemeClr w14:val="accent1"/>
        </w14:solidFill>
      </w14:textFill>
    </w:rPr>
  </w:style>
  <w:style w:type="paragraph" w:styleId="4">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color w:val="4874CB" w:themeColor="accent1"/>
      <w:sz w:val="24"/>
      <w:szCs w:val="24"/>
      <w14:textFill>
        <w14:solidFill>
          <w14:schemeClr w14:val="accent1"/>
        </w14:solidFill>
      </w14:textFill>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before="180" w:after="180"/>
    </w:pPr>
  </w:style>
  <w:style w:type="paragraph" w:customStyle="1" w:styleId="7">
    <w:name w:val="First Paragraph"/>
    <w:basedOn w:val="3"/>
    <w:next w:val="3"/>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1577</Words>
  <Characters>1599</Characters>
  <Lines>0</Lines>
  <Paragraphs>0</Paragraphs>
  <TotalTime>170</TotalTime>
  <ScaleCrop>false</ScaleCrop>
  <LinksUpToDate>false</LinksUpToDate>
  <CharactersWithSpaces>1650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2026-03-07T01:04:00Z</dcterms:created>
  <dc:creator>张军武</dc:creator>
  <cp:lastModifiedBy>徐锅锅</cp:lastModifiedBy>
  <cp:lastPrinted>2026-03-16T02:38:00Z</cp:lastPrinted>
  <dcterms:modified xsi:type="dcterms:W3CDTF">2026-03-17T02:55:20Z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17CC0FA42E934190A11F8604E2BCC256_13</vt:lpwstr>
  </property>
  <property fmtid="{D5CDD505-2E9C-101B-9397-08002B2CF9AE}" pid="4" name="KSOTemplateDocerSaveRecord">
    <vt:lpwstr>eyJoZGlkIjoiZWQ2NTY2NDEyNjg0MzY5ZjNmZmE4MGY4OTM3ZWMzYmUiLCJ1c2VySWQiOiI3MDI5NTQzOTQifQ==</vt:lpwstr>
  </property>
</Properties>
</file>